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35" w:rsidRPr="00E92393" w:rsidRDefault="008365E8" w:rsidP="005C2735">
      <w:pPr>
        <w:rPr>
          <w:rFonts w:cstheme="minorHAnsi"/>
          <w:b/>
          <w:sz w:val="28"/>
          <w:szCs w:val="28"/>
        </w:rPr>
      </w:pPr>
      <w:bookmarkStart w:id="0" w:name="_GoBack"/>
      <w:r w:rsidRPr="00E92393">
        <w:rPr>
          <w:rFonts w:cstheme="minorHAnsi"/>
          <w:b/>
          <w:sz w:val="28"/>
          <w:szCs w:val="28"/>
        </w:rPr>
        <w:t xml:space="preserve">Roeier </w:t>
      </w:r>
      <w:proofErr w:type="spellStart"/>
      <w:r w:rsidR="004B2C5D" w:rsidRPr="00E92393">
        <w:rPr>
          <w:rFonts w:cstheme="minorHAnsi"/>
          <w:b/>
          <w:sz w:val="28"/>
          <w:szCs w:val="28"/>
        </w:rPr>
        <w:t>Bike</w:t>
      </w:r>
      <w:r w:rsidRPr="00E92393">
        <w:rPr>
          <w:rFonts w:cstheme="minorHAnsi"/>
          <w:b/>
          <w:sz w:val="28"/>
          <w:szCs w:val="28"/>
        </w:rPr>
        <w:t>erg</w:t>
      </w:r>
      <w:proofErr w:type="spellEnd"/>
    </w:p>
    <w:p w:rsidR="004B2C5D" w:rsidRPr="00E92393" w:rsidRDefault="004B2C5D" w:rsidP="004B2C5D">
      <w:pPr>
        <w:pStyle w:val="Normaalweb"/>
        <w:shd w:val="clear" w:color="auto" w:fill="FFFFFF"/>
        <w:spacing w:before="0" w:beforeAutospacing="0" w:after="225" w:afterAutospacing="0" w:line="330" w:lineRule="atLeast"/>
        <w:textAlignment w:val="baseline"/>
        <w:rPr>
          <w:rFonts w:asciiTheme="minorHAnsi" w:hAnsiTheme="minorHAnsi" w:cstheme="minorHAnsi"/>
          <w:sz w:val="20"/>
          <w:szCs w:val="20"/>
        </w:rPr>
      </w:pPr>
      <w:r w:rsidRPr="00E92393">
        <w:rPr>
          <w:rFonts w:asciiTheme="minorHAnsi" w:hAnsiTheme="minorHAnsi" w:cstheme="minorHAnsi"/>
          <w:sz w:val="20"/>
          <w:szCs w:val="20"/>
        </w:rPr>
        <w:t xml:space="preserve">Welkom bij de Concept2 </w:t>
      </w:r>
      <w:proofErr w:type="spellStart"/>
      <w:r w:rsidRPr="00E92393">
        <w:rPr>
          <w:rFonts w:asciiTheme="minorHAnsi" w:hAnsiTheme="minorHAnsi" w:cstheme="minorHAnsi"/>
          <w:sz w:val="20"/>
          <w:szCs w:val="20"/>
        </w:rPr>
        <w:t>BikeErg</w:t>
      </w:r>
      <w:proofErr w:type="spellEnd"/>
      <w:r w:rsidRPr="00E92393">
        <w:rPr>
          <w:rFonts w:asciiTheme="minorHAnsi" w:hAnsiTheme="minorHAnsi" w:cstheme="minorHAnsi"/>
          <w:sz w:val="20"/>
          <w:szCs w:val="20"/>
        </w:rPr>
        <w:t xml:space="preserve">, de laatste toevoeging aan onze familie van ‘sport </w:t>
      </w:r>
      <w:proofErr w:type="spellStart"/>
      <w:r w:rsidRPr="00E92393">
        <w:rPr>
          <w:rFonts w:asciiTheme="minorHAnsi" w:hAnsiTheme="minorHAnsi" w:cstheme="minorHAnsi"/>
          <w:sz w:val="20"/>
          <w:szCs w:val="20"/>
        </w:rPr>
        <w:t>based’ergometers</w:t>
      </w:r>
      <w:proofErr w:type="spellEnd"/>
      <w:r w:rsidRPr="00E92393">
        <w:rPr>
          <w:rFonts w:asciiTheme="minorHAnsi" w:hAnsiTheme="minorHAnsi" w:cstheme="minorHAnsi"/>
          <w:sz w:val="20"/>
          <w:szCs w:val="20"/>
        </w:rPr>
        <w:t xml:space="preserve">. De </w:t>
      </w:r>
      <w:proofErr w:type="spellStart"/>
      <w:r w:rsidRPr="00E92393">
        <w:rPr>
          <w:rFonts w:asciiTheme="minorHAnsi" w:hAnsiTheme="minorHAnsi" w:cstheme="minorHAnsi"/>
          <w:sz w:val="20"/>
          <w:szCs w:val="20"/>
        </w:rPr>
        <w:t>BikeErg</w:t>
      </w:r>
      <w:proofErr w:type="spellEnd"/>
      <w:r w:rsidRPr="00E92393">
        <w:rPr>
          <w:rFonts w:asciiTheme="minorHAnsi" w:hAnsiTheme="minorHAnsi" w:cstheme="minorHAnsi"/>
          <w:sz w:val="20"/>
          <w:szCs w:val="20"/>
        </w:rPr>
        <w:t xml:space="preserve"> heeft hetzelfde vliegwiel en Performance Monitor als onze Concept2 Indoor </w:t>
      </w:r>
      <w:proofErr w:type="spellStart"/>
      <w:r w:rsidRPr="00E92393">
        <w:rPr>
          <w:rFonts w:asciiTheme="minorHAnsi" w:hAnsiTheme="minorHAnsi" w:cstheme="minorHAnsi"/>
          <w:sz w:val="20"/>
          <w:szCs w:val="20"/>
        </w:rPr>
        <w:t>Rowers</w:t>
      </w:r>
      <w:proofErr w:type="spellEnd"/>
      <w:r w:rsidRPr="00E92393">
        <w:rPr>
          <w:rFonts w:asciiTheme="minorHAnsi" w:hAnsiTheme="minorHAnsi" w:cstheme="minorHAnsi"/>
          <w:sz w:val="20"/>
          <w:szCs w:val="20"/>
        </w:rPr>
        <w:t xml:space="preserve"> en </w:t>
      </w:r>
      <w:proofErr w:type="spellStart"/>
      <w:r w:rsidRPr="00E92393">
        <w:rPr>
          <w:rFonts w:asciiTheme="minorHAnsi" w:hAnsiTheme="minorHAnsi" w:cstheme="minorHAnsi"/>
          <w:sz w:val="20"/>
          <w:szCs w:val="20"/>
        </w:rPr>
        <w:t>SkiErgs</w:t>
      </w:r>
      <w:proofErr w:type="spellEnd"/>
      <w:r w:rsidRPr="00E92393">
        <w:rPr>
          <w:rFonts w:asciiTheme="minorHAnsi" w:hAnsiTheme="minorHAnsi" w:cstheme="minorHAnsi"/>
          <w:sz w:val="20"/>
          <w:szCs w:val="20"/>
        </w:rPr>
        <w:t>, waarmee alle mogelijkheden van het roeien en Crosscountry skiën naar het fietsen wordt gebracht</w:t>
      </w:r>
    </w:p>
    <w:p w:rsidR="004B2C5D" w:rsidRPr="00E92393" w:rsidRDefault="004B2C5D" w:rsidP="004B2C5D">
      <w:pPr>
        <w:pStyle w:val="Normaalweb"/>
        <w:shd w:val="clear" w:color="auto" w:fill="FFFFFF"/>
        <w:spacing w:before="0" w:beforeAutospacing="0" w:after="225" w:afterAutospacing="0" w:line="330" w:lineRule="atLeast"/>
        <w:textAlignment w:val="baseline"/>
        <w:rPr>
          <w:rFonts w:asciiTheme="minorHAnsi" w:hAnsiTheme="minorHAnsi" w:cstheme="minorHAnsi"/>
          <w:sz w:val="20"/>
          <w:szCs w:val="20"/>
        </w:rPr>
      </w:pPr>
      <w:r w:rsidRPr="00E92393">
        <w:rPr>
          <w:rFonts w:asciiTheme="minorHAnsi" w:hAnsiTheme="minorHAnsi" w:cstheme="minorHAnsi"/>
          <w:sz w:val="20"/>
          <w:szCs w:val="20"/>
        </w:rPr>
        <w:t xml:space="preserve">Het vliegwiel maakt gebruik van luchtweerstand voor een zo natuurgetrouw mogelijk gevoel. De demper werkt als een derailleur, waarmee je de weerstand kunt aanpassen. In tegenstelling tot de meeste stationaire fietsen heeft de </w:t>
      </w:r>
      <w:proofErr w:type="spellStart"/>
      <w:r w:rsidRPr="00E92393">
        <w:rPr>
          <w:rFonts w:asciiTheme="minorHAnsi" w:hAnsiTheme="minorHAnsi" w:cstheme="minorHAnsi"/>
          <w:sz w:val="20"/>
          <w:szCs w:val="20"/>
        </w:rPr>
        <w:t>BikeErg</w:t>
      </w:r>
      <w:proofErr w:type="spellEnd"/>
      <w:r w:rsidRPr="00E92393">
        <w:rPr>
          <w:rFonts w:asciiTheme="minorHAnsi" w:hAnsiTheme="minorHAnsi" w:cstheme="minorHAnsi"/>
          <w:sz w:val="20"/>
          <w:szCs w:val="20"/>
        </w:rPr>
        <w:t xml:space="preserve"> een vrijloop, zodat net als bij een normale fiets, de pedalen stil blijven staan als je stopt met trappen, terwijl het vliegwiel doordraait.</w:t>
      </w:r>
    </w:p>
    <w:p w:rsidR="004B2C5D" w:rsidRPr="00E92393" w:rsidRDefault="004B2C5D" w:rsidP="004B2C5D">
      <w:pPr>
        <w:pStyle w:val="Normaalweb"/>
        <w:shd w:val="clear" w:color="auto" w:fill="FFFFFF"/>
        <w:spacing w:before="0" w:beforeAutospacing="0" w:after="225" w:afterAutospacing="0" w:line="330" w:lineRule="atLeast"/>
        <w:textAlignment w:val="baseline"/>
        <w:rPr>
          <w:rFonts w:asciiTheme="minorHAnsi" w:hAnsiTheme="minorHAnsi" w:cstheme="minorHAnsi"/>
          <w:sz w:val="20"/>
          <w:szCs w:val="20"/>
        </w:rPr>
      </w:pPr>
      <w:r w:rsidRPr="00E92393">
        <w:rPr>
          <w:rFonts w:asciiTheme="minorHAnsi" w:hAnsiTheme="minorHAnsi" w:cstheme="minorHAnsi"/>
          <w:sz w:val="20"/>
          <w:szCs w:val="20"/>
        </w:rPr>
        <w:t>De doorontwikkelde Performance Monitor geeft direct informatie, met een grote variatie aan weergavemogelijkheden en trainingen. De Performance Monitor is gekalibreerd voor grote nauwkeurigheid, zodat je je resultaten met anderen kunt vergelijken en je progressie kunt bijhouden.</w:t>
      </w:r>
    </w:p>
    <w:p w:rsidR="004B2C5D" w:rsidRPr="00E92393" w:rsidRDefault="004B2C5D" w:rsidP="004B2C5D">
      <w:pPr>
        <w:pStyle w:val="Normaalweb"/>
        <w:shd w:val="clear" w:color="auto" w:fill="FFFFFF"/>
        <w:spacing w:before="0" w:beforeAutospacing="0" w:after="225" w:afterAutospacing="0" w:line="330" w:lineRule="atLeast"/>
        <w:textAlignment w:val="baseline"/>
        <w:rPr>
          <w:rFonts w:asciiTheme="minorHAnsi" w:hAnsiTheme="minorHAnsi" w:cstheme="minorHAnsi"/>
          <w:sz w:val="20"/>
          <w:szCs w:val="20"/>
        </w:rPr>
      </w:pPr>
      <w:r w:rsidRPr="00E92393">
        <w:rPr>
          <w:rFonts w:asciiTheme="minorHAnsi" w:hAnsiTheme="minorHAnsi" w:cstheme="minorHAnsi"/>
          <w:sz w:val="20"/>
          <w:szCs w:val="20"/>
        </w:rPr>
        <w:t xml:space="preserve">De </w:t>
      </w:r>
      <w:proofErr w:type="spellStart"/>
      <w:r w:rsidRPr="00E92393">
        <w:rPr>
          <w:rFonts w:asciiTheme="minorHAnsi" w:hAnsiTheme="minorHAnsi" w:cstheme="minorHAnsi"/>
          <w:sz w:val="20"/>
          <w:szCs w:val="20"/>
        </w:rPr>
        <w:t>BikeErg</w:t>
      </w:r>
      <w:proofErr w:type="spellEnd"/>
      <w:r w:rsidRPr="00E92393">
        <w:rPr>
          <w:rFonts w:asciiTheme="minorHAnsi" w:hAnsiTheme="minorHAnsi" w:cstheme="minorHAnsi"/>
          <w:sz w:val="20"/>
          <w:szCs w:val="20"/>
        </w:rPr>
        <w:t xml:space="preserve"> komt van een bedrijf met meer dan 40 jaar ervaring met het maken van innovatieve producten van hoge kwaliteit. Wat voor soort fietstraining voor binnen je ook zoekt, weer fit worden of nog net een stap maken voor je volgende race, de Concept2 </w:t>
      </w:r>
      <w:proofErr w:type="spellStart"/>
      <w:r w:rsidRPr="00E92393">
        <w:rPr>
          <w:rFonts w:asciiTheme="minorHAnsi" w:hAnsiTheme="minorHAnsi" w:cstheme="minorHAnsi"/>
          <w:sz w:val="20"/>
          <w:szCs w:val="20"/>
        </w:rPr>
        <w:t>BikeErg</w:t>
      </w:r>
      <w:proofErr w:type="spellEnd"/>
      <w:r w:rsidRPr="00E92393">
        <w:rPr>
          <w:rFonts w:asciiTheme="minorHAnsi" w:hAnsiTheme="minorHAnsi" w:cstheme="minorHAnsi"/>
          <w:sz w:val="20"/>
          <w:szCs w:val="20"/>
        </w:rPr>
        <w:t xml:space="preserve"> is de perfecte machine voor jou!</w:t>
      </w:r>
    </w:p>
    <w:p w:rsidR="005C2735" w:rsidRPr="00E92393" w:rsidRDefault="005C2735" w:rsidP="005C2735">
      <w:pPr>
        <w:tabs>
          <w:tab w:val="left" w:pos="1725"/>
        </w:tabs>
        <w:rPr>
          <w:rFonts w:cstheme="minorHAnsi"/>
          <w:sz w:val="20"/>
          <w:szCs w:val="20"/>
          <w:u w:val="single"/>
        </w:rPr>
      </w:pPr>
      <w:r w:rsidRPr="00E92393">
        <w:rPr>
          <w:rFonts w:cstheme="minorHAnsi"/>
          <w:sz w:val="20"/>
          <w:szCs w:val="20"/>
          <w:u w:val="single"/>
        </w:rPr>
        <w:t>Specificaties</w:t>
      </w:r>
    </w:p>
    <w:tbl>
      <w:tblPr>
        <w:tblW w:w="8789" w:type="dxa"/>
        <w:shd w:val="clear" w:color="auto" w:fill="FFFFFF"/>
        <w:tblCellMar>
          <w:left w:w="0" w:type="dxa"/>
          <w:right w:w="0" w:type="dxa"/>
        </w:tblCellMar>
        <w:tblLook w:val="04A0" w:firstRow="1" w:lastRow="0" w:firstColumn="1" w:lastColumn="0" w:noHBand="0" w:noVBand="1"/>
      </w:tblPr>
      <w:tblGrid>
        <w:gridCol w:w="2694"/>
        <w:gridCol w:w="6095"/>
      </w:tblGrid>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Totale Lengte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122 cm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Breedte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61 cm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Zithoogte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Zadelhoogte 79-103 cm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Crank Lengte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170 mm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Q Factor</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Aandrijving</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Gegroefde band met zelfspanner</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Monitor</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PM5</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 xml:space="preserve">Power </w:t>
            </w:r>
            <w:proofErr w:type="spellStart"/>
            <w:r w:rsidRPr="00E92393">
              <w:rPr>
                <w:rFonts w:ascii="ProximaNovaRegular" w:eastAsia="Times New Roman" w:hAnsi="ProximaNovaRegular" w:cs="Times New Roman"/>
                <w:sz w:val="21"/>
                <w:szCs w:val="21"/>
                <w:lang w:eastAsia="nl-BE"/>
              </w:rPr>
              <w:t>Requirement</w:t>
            </w:r>
            <w:proofErr w:type="spellEnd"/>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 xml:space="preserve">De PM5 werkt met twee batterijen (alkaline 1,5V maat D). Gedurende een </w:t>
            </w:r>
            <w:proofErr w:type="spellStart"/>
            <w:r w:rsidRPr="00E92393">
              <w:rPr>
                <w:rFonts w:ascii="ProximaNovaRegular" w:eastAsia="Times New Roman" w:hAnsi="ProximaNovaRegular" w:cs="Times New Roman"/>
                <w:sz w:val="21"/>
                <w:szCs w:val="21"/>
                <w:lang w:eastAsia="nl-BE"/>
              </w:rPr>
              <w:t>workout</w:t>
            </w:r>
            <w:proofErr w:type="spellEnd"/>
            <w:r w:rsidRPr="00E92393">
              <w:rPr>
                <w:rFonts w:ascii="ProximaNovaRegular" w:eastAsia="Times New Roman" w:hAnsi="ProximaNovaRegular" w:cs="Times New Roman"/>
                <w:sz w:val="21"/>
                <w:szCs w:val="21"/>
                <w:lang w:eastAsia="nl-BE"/>
              </w:rPr>
              <w:t xml:space="preserve"> levert het vliegwiel stroom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Maximaal Gewicht Roeier</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136 kg</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Constructie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Gelast aluminium frame, stalen voeten</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Afwerking</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 xml:space="preserve">Zwart </w:t>
            </w:r>
            <w:proofErr w:type="spellStart"/>
            <w:r w:rsidRPr="00E92393">
              <w:rPr>
                <w:rFonts w:ascii="inherit" w:eastAsia="Times New Roman" w:hAnsi="inherit" w:cs="Times New Roman"/>
                <w:sz w:val="21"/>
                <w:szCs w:val="21"/>
                <w:lang w:eastAsia="nl-BE"/>
              </w:rPr>
              <w:t>gepoedercoat</w:t>
            </w:r>
            <w:proofErr w:type="spellEnd"/>
            <w:r w:rsidRPr="00E92393">
              <w:rPr>
                <w:rFonts w:ascii="inherit" w:eastAsia="Times New Roman" w:hAnsi="inherit" w:cs="Times New Roman"/>
                <w:sz w:val="21"/>
                <w:szCs w:val="21"/>
                <w:lang w:eastAsia="nl-BE"/>
              </w:rPr>
              <w:t xml:space="preserve"> frame, grijs geanodiseerde steunen</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Opslag</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Moet in de volledig gemonteerde toestand worden opgeslagen</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 xml:space="preserve">Space </w:t>
            </w:r>
            <w:proofErr w:type="spellStart"/>
            <w:r w:rsidRPr="00E92393">
              <w:rPr>
                <w:rFonts w:ascii="ProximaNovaRegular" w:eastAsia="Times New Roman" w:hAnsi="ProximaNovaRegular" w:cs="Times New Roman"/>
                <w:sz w:val="21"/>
                <w:szCs w:val="21"/>
                <w:lang w:eastAsia="nl-BE"/>
              </w:rPr>
              <w:t>Recommendations</w:t>
            </w:r>
            <w:proofErr w:type="spellEnd"/>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b/>
                <w:bCs/>
                <w:sz w:val="21"/>
                <w:szCs w:val="21"/>
                <w:bdr w:val="none" w:sz="0" w:space="0" w:color="auto" w:frame="1"/>
                <w:lang w:eastAsia="nl-BE"/>
              </w:rPr>
              <w:t>In elkaar gezet:</w:t>
            </w:r>
            <w:r w:rsidRPr="00E92393">
              <w:rPr>
                <w:rFonts w:ascii="inherit" w:eastAsia="Times New Roman" w:hAnsi="inherit" w:cs="Times New Roman"/>
                <w:sz w:val="21"/>
                <w:szCs w:val="21"/>
                <w:lang w:eastAsia="nl-BE"/>
              </w:rPr>
              <w:t> 122 cm x 61 cm</w:t>
            </w:r>
          </w:p>
        </w:tc>
      </w:tr>
      <w:tr w:rsidR="00E92393" w:rsidRPr="00E92393" w:rsidTr="004B2C5D">
        <w:tc>
          <w:tcPr>
            <w:tcW w:w="2694"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240" w:lineRule="auto"/>
              <w:rPr>
                <w:rFonts w:ascii="ProximaNovaRegular" w:eastAsia="Times New Roman" w:hAnsi="ProximaNovaRegular" w:cs="Times New Roman"/>
                <w:sz w:val="21"/>
                <w:szCs w:val="21"/>
                <w:lang w:eastAsia="nl-BE"/>
              </w:rPr>
            </w:pPr>
            <w:r w:rsidRPr="00E92393">
              <w:rPr>
                <w:rFonts w:ascii="ProximaNovaRegular" w:eastAsia="Times New Roman" w:hAnsi="ProximaNovaRegular" w:cs="Times New Roman"/>
                <w:sz w:val="21"/>
                <w:szCs w:val="21"/>
                <w:lang w:eastAsia="nl-BE"/>
              </w:rPr>
              <w:t>Gewicht van de machine</w:t>
            </w:r>
          </w:p>
        </w:tc>
        <w:tc>
          <w:tcPr>
            <w:tcW w:w="6095" w:type="dxa"/>
            <w:tcBorders>
              <w:top w:val="nil"/>
              <w:left w:val="nil"/>
              <w:bottom w:val="nil"/>
              <w:right w:val="nil"/>
            </w:tcBorders>
            <w:shd w:val="clear" w:color="auto" w:fill="FFFFFF"/>
            <w:tcMar>
              <w:top w:w="45" w:type="dxa"/>
              <w:left w:w="45" w:type="dxa"/>
              <w:bottom w:w="45" w:type="dxa"/>
              <w:right w:w="45" w:type="dxa"/>
            </w:tcMar>
            <w:hideMark/>
          </w:tcPr>
          <w:p w:rsidR="004B2C5D" w:rsidRPr="00E92393" w:rsidRDefault="004B2C5D" w:rsidP="004B2C5D">
            <w:pPr>
              <w:spacing w:after="0" w:line="330" w:lineRule="atLeast"/>
              <w:textAlignment w:val="baseline"/>
              <w:rPr>
                <w:rFonts w:ascii="inherit" w:eastAsia="Times New Roman" w:hAnsi="inherit" w:cs="Times New Roman"/>
                <w:sz w:val="21"/>
                <w:szCs w:val="21"/>
                <w:lang w:eastAsia="nl-BE"/>
              </w:rPr>
            </w:pPr>
            <w:r w:rsidRPr="00E92393">
              <w:rPr>
                <w:rFonts w:ascii="inherit" w:eastAsia="Times New Roman" w:hAnsi="inherit" w:cs="Times New Roman"/>
                <w:sz w:val="21"/>
                <w:szCs w:val="21"/>
                <w:lang w:eastAsia="nl-BE"/>
              </w:rPr>
              <w:t>31 kg</w:t>
            </w:r>
          </w:p>
        </w:tc>
      </w:tr>
    </w:tbl>
    <w:p w:rsidR="008365E8" w:rsidRPr="00E92393" w:rsidRDefault="008365E8" w:rsidP="005C2735">
      <w:pPr>
        <w:tabs>
          <w:tab w:val="left" w:pos="1725"/>
        </w:tabs>
        <w:rPr>
          <w:rFonts w:cstheme="minorHAnsi"/>
          <w:sz w:val="20"/>
          <w:szCs w:val="20"/>
        </w:rPr>
      </w:pPr>
    </w:p>
    <w:bookmarkEnd w:id="0"/>
    <w:p w:rsidR="005C2735" w:rsidRPr="00E92393" w:rsidRDefault="005C2735" w:rsidP="005C2735">
      <w:pPr>
        <w:tabs>
          <w:tab w:val="left" w:pos="1725"/>
        </w:tabs>
        <w:spacing w:after="0"/>
        <w:rPr>
          <w:rFonts w:cstheme="minorHAnsi"/>
          <w:sz w:val="16"/>
          <w:szCs w:val="16"/>
        </w:rPr>
      </w:pPr>
    </w:p>
    <w:sectPr w:rsidR="005C2735" w:rsidRPr="00E923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82" w:rsidRDefault="00B91282" w:rsidP="005C2735">
      <w:pPr>
        <w:spacing w:after="0" w:line="240" w:lineRule="auto"/>
      </w:pPr>
      <w:r>
        <w:separator/>
      </w:r>
    </w:p>
  </w:endnote>
  <w:endnote w:type="continuationSeparator" w:id="0">
    <w:p w:rsidR="00B91282" w:rsidRDefault="00B91282" w:rsidP="005C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82" w:rsidRDefault="00B91282" w:rsidP="005C2735">
      <w:pPr>
        <w:spacing w:after="0" w:line="240" w:lineRule="auto"/>
      </w:pPr>
      <w:r>
        <w:separator/>
      </w:r>
    </w:p>
  </w:footnote>
  <w:footnote w:type="continuationSeparator" w:id="0">
    <w:p w:rsidR="00B91282" w:rsidRDefault="00B91282" w:rsidP="005C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35" w:rsidRDefault="005C2735">
    <w:pPr>
      <w:pStyle w:val="Koptekst"/>
    </w:pPr>
    <w:r>
      <w:rPr>
        <w:noProof/>
        <w:lang w:eastAsia="nl-BE"/>
      </w:rPr>
      <w:drawing>
        <wp:inline distT="0" distB="0" distL="0" distR="0" wp14:anchorId="796D4C45" wp14:editId="7113E4E1">
          <wp:extent cx="5760720" cy="652780"/>
          <wp:effectExtent l="0" t="0" r="0" b="0"/>
          <wp:docPr id="1" name="Afbeelding 1" descr="Conce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1C3"/>
    <w:multiLevelType w:val="multilevel"/>
    <w:tmpl w:val="DA8CE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35"/>
    <w:rsid w:val="00044A66"/>
    <w:rsid w:val="001E54AF"/>
    <w:rsid w:val="00243851"/>
    <w:rsid w:val="004B2C5D"/>
    <w:rsid w:val="004D406A"/>
    <w:rsid w:val="005C2735"/>
    <w:rsid w:val="008365E8"/>
    <w:rsid w:val="009D1740"/>
    <w:rsid w:val="00A1581B"/>
    <w:rsid w:val="00A5406F"/>
    <w:rsid w:val="00B91282"/>
    <w:rsid w:val="00E92393"/>
    <w:rsid w:val="00EB1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8F0D2-66C1-430F-B913-B3598700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27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735"/>
  </w:style>
  <w:style w:type="paragraph" w:styleId="Voettekst">
    <w:name w:val="footer"/>
    <w:basedOn w:val="Standaard"/>
    <w:link w:val="VoettekstChar"/>
    <w:uiPriority w:val="99"/>
    <w:unhideWhenUsed/>
    <w:rsid w:val="005C27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735"/>
  </w:style>
  <w:style w:type="paragraph" w:styleId="Normaalweb">
    <w:name w:val="Normal (Web)"/>
    <w:basedOn w:val="Standaard"/>
    <w:uiPriority w:val="99"/>
    <w:unhideWhenUsed/>
    <w:rsid w:val="005C273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C2735"/>
    <w:rPr>
      <w:b/>
      <w:bCs/>
    </w:rPr>
  </w:style>
  <w:style w:type="character" w:styleId="Hyperlink">
    <w:name w:val="Hyperlink"/>
    <w:basedOn w:val="Standaardalinea-lettertype"/>
    <w:uiPriority w:val="99"/>
    <w:semiHidden/>
    <w:unhideWhenUsed/>
    <w:rsid w:val="009D1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0276">
      <w:bodyDiv w:val="1"/>
      <w:marLeft w:val="0"/>
      <w:marRight w:val="0"/>
      <w:marTop w:val="0"/>
      <w:marBottom w:val="0"/>
      <w:divBdr>
        <w:top w:val="none" w:sz="0" w:space="0" w:color="auto"/>
        <w:left w:val="none" w:sz="0" w:space="0" w:color="auto"/>
        <w:bottom w:val="none" w:sz="0" w:space="0" w:color="auto"/>
        <w:right w:val="none" w:sz="0" w:space="0" w:color="auto"/>
      </w:divBdr>
    </w:div>
    <w:div w:id="681123303">
      <w:bodyDiv w:val="1"/>
      <w:marLeft w:val="0"/>
      <w:marRight w:val="0"/>
      <w:marTop w:val="0"/>
      <w:marBottom w:val="0"/>
      <w:divBdr>
        <w:top w:val="none" w:sz="0" w:space="0" w:color="auto"/>
        <w:left w:val="none" w:sz="0" w:space="0" w:color="auto"/>
        <w:bottom w:val="none" w:sz="0" w:space="0" w:color="auto"/>
        <w:right w:val="none" w:sz="0" w:space="0" w:color="auto"/>
      </w:divBdr>
    </w:div>
    <w:div w:id="910240070">
      <w:bodyDiv w:val="1"/>
      <w:marLeft w:val="0"/>
      <w:marRight w:val="0"/>
      <w:marTop w:val="0"/>
      <w:marBottom w:val="0"/>
      <w:divBdr>
        <w:top w:val="none" w:sz="0" w:space="0" w:color="auto"/>
        <w:left w:val="none" w:sz="0" w:space="0" w:color="auto"/>
        <w:bottom w:val="none" w:sz="0" w:space="0" w:color="auto"/>
        <w:right w:val="none" w:sz="0" w:space="0" w:color="auto"/>
      </w:divBdr>
    </w:div>
    <w:div w:id="926694114">
      <w:bodyDiv w:val="1"/>
      <w:marLeft w:val="0"/>
      <w:marRight w:val="0"/>
      <w:marTop w:val="0"/>
      <w:marBottom w:val="0"/>
      <w:divBdr>
        <w:top w:val="none" w:sz="0" w:space="0" w:color="auto"/>
        <w:left w:val="none" w:sz="0" w:space="0" w:color="auto"/>
        <w:bottom w:val="none" w:sz="0" w:space="0" w:color="auto"/>
        <w:right w:val="none" w:sz="0" w:space="0" w:color="auto"/>
      </w:divBdr>
    </w:div>
    <w:div w:id="1247181715">
      <w:bodyDiv w:val="1"/>
      <w:marLeft w:val="0"/>
      <w:marRight w:val="0"/>
      <w:marTop w:val="0"/>
      <w:marBottom w:val="0"/>
      <w:divBdr>
        <w:top w:val="none" w:sz="0" w:space="0" w:color="auto"/>
        <w:left w:val="none" w:sz="0" w:space="0" w:color="auto"/>
        <w:bottom w:val="none" w:sz="0" w:space="0" w:color="auto"/>
        <w:right w:val="none" w:sz="0" w:space="0" w:color="auto"/>
      </w:divBdr>
    </w:div>
    <w:div w:id="1356150441">
      <w:bodyDiv w:val="1"/>
      <w:marLeft w:val="0"/>
      <w:marRight w:val="0"/>
      <w:marTop w:val="0"/>
      <w:marBottom w:val="0"/>
      <w:divBdr>
        <w:top w:val="none" w:sz="0" w:space="0" w:color="auto"/>
        <w:left w:val="none" w:sz="0" w:space="0" w:color="auto"/>
        <w:bottom w:val="none" w:sz="0" w:space="0" w:color="auto"/>
        <w:right w:val="none" w:sz="0" w:space="0" w:color="auto"/>
      </w:divBdr>
    </w:div>
    <w:div w:id="1588004492">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7220-A8AB-4B32-98F5-0783E193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Roblo</dc:creator>
  <cp:keywords/>
  <dc:description/>
  <cp:lastModifiedBy>Roblo</cp:lastModifiedBy>
  <cp:revision>2</cp:revision>
  <dcterms:created xsi:type="dcterms:W3CDTF">2020-12-14T12:24:00Z</dcterms:created>
  <dcterms:modified xsi:type="dcterms:W3CDTF">2020-12-14T12:24:00Z</dcterms:modified>
</cp:coreProperties>
</file>